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EF6F7E" w14:textId="77777777" w:rsidR="00BB2578" w:rsidRPr="00F43931" w:rsidRDefault="00BB2578" w:rsidP="00F43931">
      <w:pPr>
        <w:pStyle w:val="Coverpageannexnumber"/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/>
        </w:rPr>
        <w:t>ANEXO IV</w:t>
      </w:r>
    </w:p>
    <w:p w14:paraId="4FFD3E45" w14:textId="77777777" w:rsidR="00BB2578" w:rsidRPr="00624E86" w:rsidRDefault="00BB2578" w:rsidP="00624E86">
      <w:pPr>
        <w:pStyle w:val="Coverpageannexreftitle"/>
        <w:rPr>
          <w:b/>
          <w:bCs/>
        </w:rPr>
      </w:pPr>
      <w:r>
        <w:rPr>
          <w:b/>
        </w:rPr>
        <w:t>REFERIDO NO ARTIGO 2.3</w:t>
      </w:r>
    </w:p>
    <w:p w14:paraId="690D22D3" w14:textId="3DB631C7" w:rsidR="00BB2578" w:rsidRPr="00624E86" w:rsidRDefault="00BB2578" w:rsidP="00624E86">
      <w:pPr>
        <w:pStyle w:val="Coverpageannexreftitle"/>
        <w:rPr>
          <w:b/>
          <w:bCs/>
        </w:rPr>
      </w:pPr>
      <w:r>
        <w:rPr>
          <w:b/>
        </w:rPr>
        <w:t>CRONOGRAMA DE COMPROMISSOS TARIFÁRIOS SOBRE BENS</w:t>
      </w:r>
    </w:p>
    <w:p w14:paraId="6133E061" w14:textId="54CF7976" w:rsidR="008F3204" w:rsidRDefault="00BB2578" w:rsidP="00624E86">
      <w:pPr>
        <w:pStyle w:val="Coverpageannexreftitle"/>
        <w:rPr>
          <w:b/>
          <w:bCs/>
        </w:rPr>
      </w:pPr>
      <w:r>
        <w:rPr>
          <w:b/>
        </w:rPr>
        <w:t>COMPROMISSOS D</w:t>
      </w:r>
      <w:r w:rsidR="00B63D54">
        <w:rPr>
          <w:b/>
        </w:rPr>
        <w:t>a</w:t>
      </w:r>
      <w:r>
        <w:rPr>
          <w:b/>
        </w:rPr>
        <w:t xml:space="preserve"> NORUEGA EM RELAÇÃO A BENS </w:t>
      </w:r>
    </w:p>
    <w:p w14:paraId="14AA3AAC" w14:textId="191C6C5C" w:rsidR="00BB2578" w:rsidRPr="00624E86" w:rsidRDefault="00BB2578" w:rsidP="00624E86">
      <w:pPr>
        <w:pStyle w:val="Coverpageannexreftitle"/>
        <w:rPr>
          <w:b/>
          <w:bCs/>
        </w:rPr>
      </w:pPr>
      <w:r>
        <w:rPr>
          <w:b/>
        </w:rPr>
        <w:t xml:space="preserve">ORIGINÁRIOS DO MERCOSUL </w:t>
      </w:r>
    </w:p>
    <w:p w14:paraId="20923055" w14:textId="75DC8ECA" w:rsidR="00624E86" w:rsidRDefault="00624E86">
      <w:pPr>
        <w:rPr>
          <w:rFonts w:ascii="Times New Roman" w:hAnsi="Times New Roman" w:cs="Times New Roman"/>
          <w:sz w:val="24"/>
          <w:szCs w:val="24"/>
          <w:u w:val="single"/>
        </w:rPr>
      </w:pPr>
      <w:r>
        <w:br w:type="page"/>
      </w:r>
    </w:p>
    <w:p w14:paraId="7787F4AF" w14:textId="77777777" w:rsidR="00624E86" w:rsidRPr="00F300F4" w:rsidRDefault="00624E86">
      <w:pPr>
        <w:rPr>
          <w:rFonts w:ascii="Times New Roman" w:hAnsi="Times New Roman" w:cs="Times New Roman"/>
          <w:sz w:val="24"/>
          <w:szCs w:val="24"/>
          <w:u w:val="single"/>
        </w:rPr>
      </w:pPr>
    </w:p>
    <w:p w14:paraId="1A3BBAFD" w14:textId="77777777" w:rsidR="00624E86" w:rsidRPr="00F300F4" w:rsidRDefault="00624E86" w:rsidP="00BB2578">
      <w:pPr>
        <w:jc w:val="center"/>
        <w:rPr>
          <w:rFonts w:ascii="Times New Roman" w:hAnsi="Times New Roman" w:cs="Times New Roman"/>
          <w:sz w:val="24"/>
          <w:szCs w:val="24"/>
          <w:u w:val="single"/>
        </w:rPr>
        <w:sectPr w:rsidR="00624E86" w:rsidRPr="00F300F4" w:rsidSect="00624E86">
          <w:headerReference w:type="default" r:id="rId10"/>
          <w:footerReference w:type="default" r:id="rId11"/>
          <w:pgSz w:w="11910" w:h="16840"/>
          <w:pgMar w:top="1418" w:right="1701" w:bottom="1418" w:left="1701" w:header="709" w:footer="709" w:gutter="0"/>
          <w:cols w:space="720"/>
          <w:docGrid w:linePitch="299"/>
        </w:sectPr>
      </w:pPr>
    </w:p>
    <w:p w14:paraId="0A245540" w14:textId="77777777" w:rsidR="00BB2578" w:rsidRPr="00236C66" w:rsidRDefault="00BB2578" w:rsidP="00236C66">
      <w:pPr>
        <w:pStyle w:val="FTAchaptertitle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lastRenderedPageBreak/>
        <w:t>ANEXO IV</w:t>
      </w:r>
    </w:p>
    <w:p w14:paraId="77EC7490" w14:textId="77777777" w:rsidR="00BB2578" w:rsidRPr="00236C66" w:rsidRDefault="00BB2578" w:rsidP="00236C66">
      <w:pPr>
        <w:pStyle w:val="FTAchaptertitle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t>REFERIDO NO ARTIGO 2.3</w:t>
      </w:r>
    </w:p>
    <w:p w14:paraId="5EF371B3" w14:textId="701DA6E3" w:rsidR="00BB2578" w:rsidRPr="00236C66" w:rsidRDefault="00BB2578" w:rsidP="00236C66">
      <w:pPr>
        <w:pStyle w:val="FTAchaptertitle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t>CRONOGRAMA DE COMPROMISSOS TARIFÁRIOS SOBRE BENS</w:t>
      </w:r>
    </w:p>
    <w:p w14:paraId="73AA6011" w14:textId="3749E2AB" w:rsidR="00BB2578" w:rsidRPr="00236C66" w:rsidRDefault="00BB2578" w:rsidP="00236C66">
      <w:pPr>
        <w:pStyle w:val="FTAchaptertitle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t>COMPROMISSOS D</w:t>
      </w:r>
      <w:r w:rsidR="00B63D54">
        <w:rPr>
          <w:b w:val="0"/>
          <w:u w:val="single"/>
        </w:rPr>
        <w:t>a</w:t>
      </w:r>
      <w:r>
        <w:rPr>
          <w:b w:val="0"/>
          <w:u w:val="single"/>
        </w:rPr>
        <w:t xml:space="preserve"> NORUEGA EM RELAÇÃO A BENS ORIGINÁRIOS </w:t>
      </w:r>
    </w:p>
    <w:p w14:paraId="6A345EAA" w14:textId="77777777" w:rsidR="00BB2578" w:rsidRPr="00236C66" w:rsidRDefault="00BB2578" w:rsidP="00236C66">
      <w:pPr>
        <w:pStyle w:val="FTAchaptertitle"/>
        <w:rPr>
          <w:rFonts w:cs="Times New Roman"/>
          <w:b w:val="0"/>
          <w:bCs/>
          <w:u w:val="single"/>
        </w:rPr>
      </w:pPr>
      <w:r>
        <w:rPr>
          <w:b w:val="0"/>
          <w:u w:val="single"/>
        </w:rPr>
        <w:t xml:space="preserve">DO MERCOSUL </w:t>
      </w:r>
    </w:p>
    <w:p w14:paraId="5A0A900B" w14:textId="2415FCB0" w:rsidR="00BB2578" w:rsidRPr="004033F5" w:rsidRDefault="00BB2578" w:rsidP="004033F5">
      <w:pPr>
        <w:pStyle w:val="FTAarticlenumber"/>
        <w:rPr>
          <w:rFonts w:cs="Times New Roman"/>
          <w:szCs w:val="24"/>
        </w:rPr>
      </w:pPr>
      <w:r>
        <w:t>Artigo 1</w:t>
      </w:r>
      <w:r w:rsidR="000150D0">
        <w:t>º</w:t>
      </w:r>
    </w:p>
    <w:p w14:paraId="04679C1C" w14:textId="77777777" w:rsidR="00BB2578" w:rsidRPr="00D04258" w:rsidRDefault="00BB2578" w:rsidP="00D04258">
      <w:pPr>
        <w:pStyle w:val="FTAarticletitle"/>
        <w:rPr>
          <w:rFonts w:cs="Times New Roman"/>
          <w:szCs w:val="24"/>
        </w:rPr>
      </w:pPr>
      <w:r>
        <w:t>Disposições Gerais</w:t>
      </w:r>
    </w:p>
    <w:p w14:paraId="4828B1DC" w14:textId="3D85DE00" w:rsidR="00BB2578" w:rsidRPr="00C465C1" w:rsidRDefault="00BB2578" w:rsidP="00BE06D9">
      <w:pPr>
        <w:pStyle w:val="Corpodetexto"/>
        <w:numPr>
          <w:ilvl w:val="0"/>
          <w:numId w:val="2"/>
        </w:numPr>
        <w:spacing w:before="240" w:after="0"/>
        <w:ind w:left="0" w:firstLine="0"/>
        <w:jc w:val="both"/>
      </w:pPr>
      <w:r>
        <w:t xml:space="preserve">O presente Anexo especifica as obrigações da Noruega </w:t>
      </w:r>
      <w:r w:rsidR="00731104">
        <w:t>com relação</w:t>
      </w:r>
      <w:r w:rsidR="00F300F4">
        <w:t xml:space="preserve"> </w:t>
      </w:r>
      <w:r>
        <w:t>à aplicação de direitos aduaneiros sobre as importações.</w:t>
      </w:r>
    </w:p>
    <w:p w14:paraId="0792063E" w14:textId="1CCA1F84" w:rsidR="00BB2578" w:rsidRPr="00C465C1" w:rsidRDefault="00BB2578" w:rsidP="00BE06D9">
      <w:pPr>
        <w:pStyle w:val="Corpodetexto"/>
        <w:numPr>
          <w:ilvl w:val="0"/>
          <w:numId w:val="2"/>
        </w:numPr>
        <w:spacing w:before="240" w:after="0"/>
        <w:ind w:left="0" w:firstLine="0"/>
        <w:jc w:val="both"/>
      </w:pPr>
      <w:r>
        <w:t>Para efeitos do Acordo, a Noruega aplicará os seus respetivos sistemas de classificação aduaneira para bens importad</w:t>
      </w:r>
      <w:r w:rsidR="000150D0">
        <w:t>o</w:t>
      </w:r>
      <w:r>
        <w:t>s, ao nível de oito dígitos, que se basearão no SH na sua versão de 2022 ou em qualquer alteração posterior aprovada pelas Partes.</w:t>
      </w:r>
    </w:p>
    <w:p w14:paraId="70068B57" w14:textId="403C6B8B" w:rsidR="00BB2578" w:rsidRPr="00C465C1" w:rsidRDefault="00BB2578" w:rsidP="00BE06D9">
      <w:pPr>
        <w:pStyle w:val="Corpodetexto"/>
        <w:numPr>
          <w:ilvl w:val="0"/>
          <w:numId w:val="2"/>
        </w:numPr>
        <w:spacing w:before="240" w:after="0"/>
        <w:ind w:left="0" w:firstLine="0"/>
        <w:jc w:val="both"/>
      </w:pPr>
      <w:r>
        <w:t>A Noruega reduzirá ou eliminará os direitos aduaneiros sobre as importações de bens originários do MERCOSUL, de acordo com o</w:t>
      </w:r>
      <w:r w:rsidR="0091282D">
        <w:t xml:space="preserve"> cronograma</w:t>
      </w:r>
      <w:r>
        <w:t xml:space="preserve"> de compromissos tarifários estabelecido no presente </w:t>
      </w:r>
      <w:r w:rsidR="00B37FA3">
        <w:t>A</w:t>
      </w:r>
      <w:r>
        <w:t>nexo.</w:t>
      </w:r>
    </w:p>
    <w:p w14:paraId="5009BB53" w14:textId="74BB5F95" w:rsidR="00BB2578" w:rsidRPr="00C465C1" w:rsidRDefault="00BB2578" w:rsidP="00651318">
      <w:pPr>
        <w:pStyle w:val="Corpodetexto"/>
        <w:numPr>
          <w:ilvl w:val="0"/>
          <w:numId w:val="2"/>
        </w:numPr>
        <w:spacing w:before="240" w:after="0"/>
        <w:ind w:left="0" w:firstLine="0"/>
        <w:jc w:val="both"/>
      </w:pPr>
      <w:r>
        <w:t>No momento da importação, p</w:t>
      </w:r>
      <w:r w:rsidR="00651318">
        <w:t>revalecerá o</w:t>
      </w:r>
      <w:r w:rsidR="00651318" w:rsidRPr="00651318">
        <w:t xml:space="preserve"> menor entre a tarifa NMF aplicada e a tarifa preferencial prevista neste Anexo</w:t>
      </w:r>
      <w:r>
        <w:t xml:space="preserve">. </w:t>
      </w:r>
    </w:p>
    <w:p w14:paraId="40D9CF36" w14:textId="63A0F71D" w:rsidR="00BB2578" w:rsidRPr="00C465C1" w:rsidRDefault="00BB2578" w:rsidP="00BE06D9">
      <w:pPr>
        <w:pStyle w:val="Corpodetexto"/>
        <w:numPr>
          <w:ilvl w:val="0"/>
          <w:numId w:val="2"/>
        </w:numPr>
        <w:spacing w:before="240" w:after="0"/>
        <w:ind w:left="0" w:firstLine="0"/>
        <w:jc w:val="both"/>
      </w:pPr>
      <w:r>
        <w:t xml:space="preserve">Para efeitos das </w:t>
      </w:r>
      <w:r w:rsidR="00B63D54">
        <w:t>c</w:t>
      </w:r>
      <w:r>
        <w:t xml:space="preserve">otas tarifárias bilaterais (TRQ) estabelecidas no presente </w:t>
      </w:r>
      <w:r w:rsidR="007740BE">
        <w:t>A</w:t>
      </w:r>
      <w:r>
        <w:t>nexo, se a entrada em vigor do Acordo corresponder a uma data posterior a 1</w:t>
      </w:r>
      <w:r w:rsidR="007740BE">
        <w:t>º</w:t>
      </w:r>
      <w:r>
        <w:t xml:space="preserve"> de janeiro e anterior a 31 de dezembro, a quantidade </w:t>
      </w:r>
      <w:r w:rsidR="00FB7FDD">
        <w:t>intracota</w:t>
      </w:r>
      <w:r>
        <w:t xml:space="preserve"> será repartida proporcionalmente pelo restante do ano civil. </w:t>
      </w:r>
      <w:r w:rsidR="00923726">
        <w:t>A</w:t>
      </w:r>
      <w:r w:rsidR="00946F75">
        <w:t xml:space="preserve"> partir de então</w:t>
      </w:r>
      <w:r>
        <w:t>, a Noruega disponibilizará a</w:t>
      </w:r>
      <w:r w:rsidR="00946F75">
        <w:t>os requerentes da cota</w:t>
      </w:r>
      <w:r w:rsidR="0078243E">
        <w:t xml:space="preserve"> a</w:t>
      </w:r>
      <w:r>
        <w:t xml:space="preserve"> totalidade da </w:t>
      </w:r>
      <w:r w:rsidR="0078243E">
        <w:t xml:space="preserve">cota </w:t>
      </w:r>
      <w:r>
        <w:t>anual estabelecida de acordo com o</w:t>
      </w:r>
      <w:r w:rsidR="005453B7">
        <w:t xml:space="preserve"> cronograma</w:t>
      </w:r>
      <w:r>
        <w:t xml:space="preserve"> de compromissos tarifários estabelecido no presente </w:t>
      </w:r>
      <w:r w:rsidR="005453B7">
        <w:t>A</w:t>
      </w:r>
      <w:r>
        <w:t>nexo ao longo do ano civil.</w:t>
      </w:r>
    </w:p>
    <w:p w14:paraId="79FADBC3" w14:textId="09F50551" w:rsidR="00BB2578" w:rsidRPr="004033F5" w:rsidRDefault="00BB2578" w:rsidP="004033F5">
      <w:pPr>
        <w:pStyle w:val="FTAarticlenumber"/>
        <w:rPr>
          <w:rFonts w:cs="Times New Roman"/>
          <w:szCs w:val="24"/>
        </w:rPr>
      </w:pPr>
      <w:r>
        <w:t>Artigo 2</w:t>
      </w:r>
      <w:r w:rsidR="006A72B3">
        <w:t>º</w:t>
      </w:r>
    </w:p>
    <w:p w14:paraId="1DE1AFEA" w14:textId="77777777" w:rsidR="00BB2578" w:rsidRPr="00C465C1" w:rsidRDefault="00BB2578" w:rsidP="00BB2578">
      <w:pPr>
        <w:tabs>
          <w:tab w:val="left" w:pos="709"/>
        </w:tabs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</w:rPr>
        <w:t xml:space="preserve">Disposições específicas </w:t>
      </w:r>
    </w:p>
    <w:p w14:paraId="38C3188A" w14:textId="77777777" w:rsidR="00BB2578" w:rsidRPr="004033F5" w:rsidRDefault="00BB2578" w:rsidP="00BB2578">
      <w:pPr>
        <w:tabs>
          <w:tab w:val="left" w:pos="709"/>
        </w:tabs>
        <w:adjustRightInd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ab/>
        <w:t>Os seguintes termos e condições aplicam-se às concessões tarifárias concedidas pela Noruega em conformidade com o presente anexo:</w:t>
      </w:r>
    </w:p>
    <w:p w14:paraId="6EA6EF49" w14:textId="55760DC1" w:rsidR="00BB2578" w:rsidRPr="00D51D60" w:rsidRDefault="00BB2578" w:rsidP="00CB3935">
      <w:pPr>
        <w:numPr>
          <w:ilvl w:val="0"/>
          <w:numId w:val="3"/>
        </w:numPr>
        <w:spacing w:line="240" w:lineRule="auto"/>
        <w:ind w:left="1418" w:hanging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</w:rPr>
        <w:t xml:space="preserve">A Noruega aplicará direitos aduaneiros sobre as importações de </w:t>
      </w:r>
      <w:r w:rsidR="002B6B9C">
        <w:rPr>
          <w:rFonts w:ascii="Times New Roman" w:hAnsi="Times New Roman"/>
          <w:sz w:val="24"/>
        </w:rPr>
        <w:t>bens</w:t>
      </w:r>
      <w:r>
        <w:rPr>
          <w:rFonts w:ascii="Times New Roman" w:hAnsi="Times New Roman"/>
          <w:sz w:val="24"/>
        </w:rPr>
        <w:t xml:space="preserve"> (“BAP” (produtos agrícolas básicos) e “PAP” (produtos agrícolas transformados</w:t>
      </w:r>
      <w:r w:rsidR="00D37F44">
        <w:rPr>
          <w:rFonts w:ascii="Times New Roman" w:hAnsi="Times New Roman"/>
          <w:sz w:val="24"/>
        </w:rPr>
        <w:t>, sujeitos a regime de compensação de matérias-primas agrícolas</w:t>
      </w:r>
      <w:r>
        <w:rPr>
          <w:rFonts w:ascii="Times New Roman" w:hAnsi="Times New Roman"/>
          <w:sz w:val="24"/>
        </w:rPr>
        <w:t>) originári</w:t>
      </w:r>
      <w:r w:rsidR="002B6B9C"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z w:val="24"/>
        </w:rPr>
        <w:t>s do MERCOSUL, conforme estabelecido na coluna 4a ou 4b.</w:t>
      </w:r>
    </w:p>
    <w:p w14:paraId="710AE16F" w14:textId="71756417" w:rsidR="00BB2578" w:rsidRPr="00D51D60" w:rsidRDefault="00BB2578" w:rsidP="00CB3935">
      <w:pPr>
        <w:numPr>
          <w:ilvl w:val="0"/>
          <w:numId w:val="3"/>
        </w:numPr>
        <w:spacing w:line="240" w:lineRule="auto"/>
        <w:ind w:left="1418" w:hanging="709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/>
          <w:sz w:val="24"/>
        </w:rPr>
        <w:t xml:space="preserve">Para </w:t>
      </w:r>
      <w:r w:rsidR="002B6B9C">
        <w:rPr>
          <w:rFonts w:ascii="Times New Roman" w:hAnsi="Times New Roman"/>
          <w:sz w:val="24"/>
        </w:rPr>
        <w:t>os bens</w:t>
      </w:r>
      <w:r>
        <w:rPr>
          <w:rFonts w:ascii="Times New Roman" w:hAnsi="Times New Roman"/>
          <w:sz w:val="24"/>
        </w:rPr>
        <w:t xml:space="preserve"> originári</w:t>
      </w:r>
      <w:r w:rsidR="002B6B9C"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z w:val="24"/>
        </w:rPr>
        <w:t>s do MERCOSUL classificad</w:t>
      </w:r>
      <w:r w:rsidR="002B6B9C">
        <w:rPr>
          <w:rFonts w:ascii="Times New Roman" w:hAnsi="Times New Roman"/>
          <w:sz w:val="24"/>
        </w:rPr>
        <w:t>o</w:t>
      </w:r>
      <w:r>
        <w:rPr>
          <w:rFonts w:ascii="Times New Roman" w:hAnsi="Times New Roman"/>
          <w:sz w:val="24"/>
        </w:rPr>
        <w:t>s como PAP na coluna 3, aplicam-se as seguintes disposições:</w:t>
      </w:r>
    </w:p>
    <w:p w14:paraId="021A4112" w14:textId="49132B4A" w:rsidR="00BB2578" w:rsidRPr="00947527" w:rsidRDefault="00BB2578" w:rsidP="007732D5">
      <w:pPr>
        <w:pStyle w:val="FTAlisttext"/>
        <w:numPr>
          <w:ilvl w:val="0"/>
          <w:numId w:val="4"/>
        </w:numPr>
        <w:tabs>
          <w:tab w:val="left" w:pos="2127"/>
        </w:tabs>
        <w:ind w:left="2127" w:hanging="709"/>
      </w:pPr>
      <w:r>
        <w:lastRenderedPageBreak/>
        <w:t>a fim de ter em conta as diferenças no custo das matérias-primas agrícolas incorporadas nos produtos identificados como “PAP”, o Acordo não impede a cobrança, na importação, de um direito aduaneiro;</w:t>
      </w:r>
    </w:p>
    <w:p w14:paraId="3E4FBA0E" w14:textId="09963CF1" w:rsidR="00BB2578" w:rsidRPr="001F5F10" w:rsidRDefault="00BB2578" w:rsidP="007732D5">
      <w:pPr>
        <w:pStyle w:val="FTAlisttext"/>
        <w:numPr>
          <w:ilvl w:val="0"/>
          <w:numId w:val="4"/>
        </w:numPr>
        <w:tabs>
          <w:tab w:val="left" w:pos="2127"/>
        </w:tabs>
        <w:ind w:left="2127" w:hanging="709"/>
      </w:pPr>
      <w:r>
        <w:t xml:space="preserve">os impostos cobrados sobre as importações </w:t>
      </w:r>
      <w:r w:rsidR="00F300F4">
        <w:t>serão baseados</w:t>
      </w:r>
      <w:r>
        <w:t xml:space="preserve"> na diferença</w:t>
      </w:r>
      <w:r w:rsidR="00E767A5">
        <w:t>, sem excedê-la,</w:t>
      </w:r>
      <w:r>
        <w:t xml:space="preserve"> entre o preço interno e o preço do mercado mundial das matérias-primas agrícolas incorporadas nos produtos em causa; </w:t>
      </w:r>
    </w:p>
    <w:p w14:paraId="335BED77" w14:textId="49D214AA" w:rsidR="00BB2578" w:rsidRPr="001F5F10" w:rsidRDefault="00BB2578" w:rsidP="007732D5">
      <w:pPr>
        <w:pStyle w:val="FTAlisttext"/>
        <w:numPr>
          <w:ilvl w:val="0"/>
          <w:numId w:val="4"/>
        </w:numPr>
        <w:tabs>
          <w:tab w:val="left" w:pos="2127"/>
        </w:tabs>
        <w:ind w:left="2127" w:hanging="709"/>
      </w:pPr>
      <w:r>
        <w:t>sujeito às disposições estabelecidas n</w:t>
      </w:r>
      <w:r w:rsidR="00F300F4">
        <w:t>a</w:t>
      </w:r>
      <w:r>
        <w:t xml:space="preserve">s alíneas b) i) e b) ii), a Noruega concederá </w:t>
      </w:r>
      <w:r w:rsidR="00E767A5">
        <w:t>aos bens</w:t>
      </w:r>
      <w:r>
        <w:t xml:space="preserve"> originári</w:t>
      </w:r>
      <w:r w:rsidR="00E767A5">
        <w:t>o</w:t>
      </w:r>
      <w:r>
        <w:t>s do MERCOSUL classificad</w:t>
      </w:r>
      <w:r w:rsidR="00E767A5">
        <w:t>o</w:t>
      </w:r>
      <w:r>
        <w:t>s como “PAP” as mesmas concessões que as concedidas à União Europeia (UE)</w:t>
      </w:r>
      <w:bookmarkStart w:id="0" w:name="_GoBack"/>
      <w:bookmarkEnd w:id="0"/>
      <w:r w:rsidRPr="002D352E">
        <w:rPr>
          <w:vertAlign w:val="superscript"/>
        </w:rPr>
        <w:footnoteReference w:id="2"/>
      </w:r>
      <w:r>
        <w:t xml:space="preserve"> em 1º de janeiro de 2018. Se as concessões para esses </w:t>
      </w:r>
      <w:r w:rsidR="00E767A5">
        <w:t>bens</w:t>
      </w:r>
      <w:r>
        <w:t xml:space="preserve"> forem alteradas no acordo (Protocolo 3 do Acordo sobre o Espaço Econômico Europeu) entre a Noruega e a UE, o MERCOSUL receberá simultaneamente as mesmas concessões; e</w:t>
      </w:r>
    </w:p>
    <w:p w14:paraId="053E8445" w14:textId="56F675C7" w:rsidR="00BB2578" w:rsidRPr="001F5F10" w:rsidRDefault="00BB2578" w:rsidP="007732D5">
      <w:pPr>
        <w:pStyle w:val="FTAlisttext"/>
        <w:numPr>
          <w:ilvl w:val="0"/>
          <w:numId w:val="4"/>
        </w:numPr>
        <w:tabs>
          <w:tab w:val="left" w:pos="2127"/>
        </w:tabs>
        <w:ind w:left="2127" w:hanging="709"/>
      </w:pPr>
      <w:r>
        <w:t>A Noruega publicará os direitos de importação aplicáveis ao PAP no site da Web do Secretariado da EFTA, em língua inglesa.</w:t>
      </w:r>
    </w:p>
    <w:p w14:paraId="4A64FD58" w14:textId="77777777" w:rsidR="00BB2578" w:rsidRPr="00F300F4" w:rsidRDefault="00BB2578" w:rsidP="00BB2578">
      <w:pPr>
        <w:pStyle w:val="PargrafodaLista"/>
        <w:rPr>
          <w:rFonts w:ascii="Times New Roman" w:hAnsi="Times New Roman" w:cs="Times New Roman"/>
        </w:rPr>
      </w:pPr>
    </w:p>
    <w:p w14:paraId="1F57EE3D" w14:textId="273CB502" w:rsidR="00BB2578" w:rsidRPr="00C465C1" w:rsidRDefault="00BB2578" w:rsidP="00327986">
      <w:pPr>
        <w:pStyle w:val="FTAlisttext"/>
        <w:ind w:left="1429" w:hanging="720"/>
      </w:pPr>
      <w:r>
        <w:t>(c)</w:t>
      </w:r>
      <w:r>
        <w:tab/>
        <w:t>Para bens originários do MERCOSUL indicados como “Excluídos” nas colunas 4a e 4b, a Noruega não concederá compromissos relacionados com direitos aduaneiros.</w:t>
      </w:r>
    </w:p>
    <w:p w14:paraId="0B5B68C3" w14:textId="08C531CE" w:rsidR="00BB2578" w:rsidRPr="00C465C1" w:rsidRDefault="00BB2578" w:rsidP="00327986">
      <w:pPr>
        <w:pStyle w:val="FTAlisttext"/>
        <w:ind w:left="1429" w:hanging="720"/>
      </w:pPr>
      <w:r>
        <w:t>(d)</w:t>
      </w:r>
      <w:r>
        <w:tab/>
        <w:t>A Noruega concederá, com base em critérios de utilização final, acesso ao mercado com isenção de direitos aduaneiros tanto para rações para peixes como para matérias-primas destinadas à fabricação de rações para peixes, originárias do MERCOSUL.</w:t>
      </w:r>
    </w:p>
    <w:p w14:paraId="6367E43A" w14:textId="01E6B438" w:rsidR="00654F8F" w:rsidRDefault="00BB2578" w:rsidP="00C43946">
      <w:pPr>
        <w:pStyle w:val="FTAlisttext"/>
        <w:ind w:left="1429" w:hanging="720"/>
        <w:rPr>
          <w:color w:val="000000"/>
        </w:rPr>
      </w:pPr>
      <w:r>
        <w:t>(e)</w:t>
      </w:r>
      <w:r>
        <w:tab/>
        <w:t>A classificação d</w:t>
      </w:r>
      <w:r w:rsidR="00E767A5">
        <w:t>os bens</w:t>
      </w:r>
      <w:r>
        <w:t xml:space="preserve"> será a estabelecida na nomenclatura tarifária da Noruega, com um nível de oito (8) dígitos, com base no Sistema Harmonizado de Designação e Codificação de Mercadorias na sua versão de 2022 ou em qualquer alteração subsequente aprovada pelas Partes.</w:t>
      </w:r>
    </w:p>
    <w:p w14:paraId="1EF061A5" w14:textId="77777777" w:rsidR="00DA51ED" w:rsidRPr="00DA51ED" w:rsidRDefault="00DA51ED" w:rsidP="00DA51ED">
      <w:pPr>
        <w:pStyle w:val="FTAlisttext"/>
        <w:ind w:left="1429" w:hanging="720"/>
        <w:jc w:val="center"/>
      </w:pPr>
      <w:r>
        <w:t>________________</w:t>
      </w:r>
    </w:p>
    <w:p w14:paraId="44AB8E90" w14:textId="77777777" w:rsidR="00DA51ED" w:rsidRPr="00C43946" w:rsidRDefault="00DA51ED" w:rsidP="00C43946">
      <w:pPr>
        <w:pStyle w:val="FTAlisttext"/>
        <w:ind w:left="1429" w:hanging="720"/>
      </w:pPr>
    </w:p>
    <w:sectPr w:rsidR="00DA51ED" w:rsidRPr="00C43946" w:rsidSect="002D352E">
      <w:footerReference w:type="default" r:id="rId12"/>
      <w:pgSz w:w="11906" w:h="16838"/>
      <w:pgMar w:top="1440" w:right="1440" w:bottom="1440" w:left="1440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4E778" w14:textId="77777777" w:rsidR="003D5756" w:rsidRDefault="003D5756" w:rsidP="00BB2578">
      <w:pPr>
        <w:spacing w:after="0" w:line="240" w:lineRule="auto"/>
      </w:pPr>
      <w:r>
        <w:separator/>
      </w:r>
    </w:p>
  </w:endnote>
  <w:endnote w:type="continuationSeparator" w:id="0">
    <w:p w14:paraId="47DF10A6" w14:textId="77777777" w:rsidR="003D5756" w:rsidRDefault="003D5756" w:rsidP="00BB2578">
      <w:pPr>
        <w:spacing w:after="0" w:line="240" w:lineRule="auto"/>
      </w:pPr>
      <w:r>
        <w:continuationSeparator/>
      </w:r>
    </w:p>
  </w:endnote>
  <w:endnote w:type="continuationNotice" w:id="1">
    <w:p w14:paraId="056AC9D7" w14:textId="77777777" w:rsidR="003D5756" w:rsidRDefault="003D57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EE5ED" w14:textId="77777777" w:rsidR="003D5756" w:rsidRDefault="003D5756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59968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0E71CE6" w14:textId="14B31BCC" w:rsidR="00624E86" w:rsidRPr="00624E86" w:rsidRDefault="00624E86" w:rsidP="00624E86">
        <w:pPr>
          <w:pStyle w:val="Rodap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24E86">
          <w:rPr>
            <w:rFonts w:ascii="Times New Roman" w:hAnsi="Times New Roman" w:cs="Times New Roman"/>
            <w:sz w:val="24"/>
          </w:rPr>
          <w:fldChar w:fldCharType="begin"/>
        </w:r>
        <w:r w:rsidRPr="00624E86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624E86">
          <w:rPr>
            <w:rFonts w:ascii="Times New Roman" w:hAnsi="Times New Roman" w:cs="Times New Roman"/>
            <w:sz w:val="24"/>
          </w:rPr>
          <w:fldChar w:fldCharType="separate"/>
        </w:r>
        <w:r w:rsidR="00923726">
          <w:rPr>
            <w:rFonts w:ascii="Times New Roman" w:hAnsi="Times New Roman" w:cs="Times New Roman"/>
            <w:noProof/>
            <w:sz w:val="24"/>
          </w:rPr>
          <w:t>- 4 -</w:t>
        </w:r>
        <w:r w:rsidRPr="00624E86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5679E7" w14:textId="77777777" w:rsidR="003D5756" w:rsidRDefault="003D5756" w:rsidP="00BB2578">
      <w:pPr>
        <w:spacing w:after="0" w:line="240" w:lineRule="auto"/>
      </w:pPr>
      <w:r>
        <w:separator/>
      </w:r>
    </w:p>
  </w:footnote>
  <w:footnote w:type="continuationSeparator" w:id="0">
    <w:p w14:paraId="6F2F8CF3" w14:textId="77777777" w:rsidR="003D5756" w:rsidRDefault="003D5756" w:rsidP="00BB2578">
      <w:pPr>
        <w:spacing w:after="0" w:line="240" w:lineRule="auto"/>
      </w:pPr>
      <w:r>
        <w:continuationSeparator/>
      </w:r>
    </w:p>
  </w:footnote>
  <w:footnote w:type="continuationNotice" w:id="1">
    <w:p w14:paraId="5EEE9FEF" w14:textId="77777777" w:rsidR="003D5756" w:rsidRDefault="003D5756">
      <w:pPr>
        <w:spacing w:after="0" w:line="240" w:lineRule="auto"/>
      </w:pPr>
    </w:p>
  </w:footnote>
  <w:footnote w:id="2">
    <w:p w14:paraId="47558872" w14:textId="6D58704A" w:rsidR="00BB2578" w:rsidRPr="0068754E" w:rsidRDefault="00BB2578" w:rsidP="00DA51ED">
      <w:pPr>
        <w:pStyle w:val="Textodenotaderodap"/>
        <w:jc w:val="both"/>
        <w:rPr>
          <w:sz w:val="18"/>
          <w:szCs w:val="18"/>
        </w:rPr>
      </w:pPr>
      <w:r>
        <w:rPr>
          <w:rStyle w:val="Refdenotaderodap"/>
          <w:rFonts w:eastAsiaTheme="majorEastAsia"/>
          <w:sz w:val="18"/>
          <w:szCs w:val="18"/>
        </w:rPr>
        <w:footnoteRef/>
      </w:r>
      <w:r>
        <w:rPr>
          <w:sz w:val="18"/>
        </w:rPr>
        <w:t xml:space="preserve"> </w:t>
      </w:r>
      <w:r>
        <w:rPr>
          <w:sz w:val="18"/>
        </w:rPr>
        <w:tab/>
        <w:t xml:space="preserve">Mais informações disponíveis no Protocolo n.º 3 do Acordo EEE. </w:t>
      </w:r>
      <w:r>
        <w:t>A regulamentação nacional relevante em língua norueguesa, “RÅK-importforskriften”, estará disponível em formato eletrônico no site www.lovdata.no.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FC5EA9" w14:textId="77777777" w:rsidR="003D5756" w:rsidRDefault="003D575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EE092D"/>
    <w:multiLevelType w:val="hybridMultilevel"/>
    <w:tmpl w:val="12F467D4"/>
    <w:lvl w:ilvl="0" w:tplc="E15E4F36">
      <w:start w:val="1"/>
      <w:numFmt w:val="lowerLetter"/>
      <w:lvlText w:val="(%1)"/>
      <w:lvlJc w:val="left"/>
      <w:pPr>
        <w:ind w:left="1429" w:hanging="360"/>
      </w:pPr>
      <w:rPr>
        <w:rFonts w:ascii="Times New Roman" w:eastAsia="Cambria" w:hAnsi="Times New Roman" w:cs="Times New Roman" w:hint="default"/>
        <w:w w:val="99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FEA419E"/>
    <w:multiLevelType w:val="hybridMultilevel"/>
    <w:tmpl w:val="3CACE388"/>
    <w:lvl w:ilvl="0" w:tplc="AEA4431E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733927BC"/>
    <w:multiLevelType w:val="hybridMultilevel"/>
    <w:tmpl w:val="A84CFD52"/>
    <w:lvl w:ilvl="0" w:tplc="E4CC02D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061790"/>
    <w:multiLevelType w:val="hybridMultilevel"/>
    <w:tmpl w:val="50D67870"/>
    <w:lvl w:ilvl="0" w:tplc="904AE0A6">
      <w:start w:val="1"/>
      <w:numFmt w:val="decimal"/>
      <w:lvlText w:val="%1."/>
      <w:lvlJc w:val="left"/>
      <w:pPr>
        <w:ind w:left="2129" w:hanging="57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39" w:hanging="360"/>
      </w:pPr>
    </w:lvl>
    <w:lvl w:ilvl="2" w:tplc="0416001B" w:tentative="1">
      <w:start w:val="1"/>
      <w:numFmt w:val="lowerRoman"/>
      <w:lvlText w:val="%3."/>
      <w:lvlJc w:val="right"/>
      <w:pPr>
        <w:ind w:left="3359" w:hanging="180"/>
      </w:pPr>
    </w:lvl>
    <w:lvl w:ilvl="3" w:tplc="0416000F" w:tentative="1">
      <w:start w:val="1"/>
      <w:numFmt w:val="decimal"/>
      <w:lvlText w:val="%4."/>
      <w:lvlJc w:val="left"/>
      <w:pPr>
        <w:ind w:left="4079" w:hanging="360"/>
      </w:pPr>
    </w:lvl>
    <w:lvl w:ilvl="4" w:tplc="04160019" w:tentative="1">
      <w:start w:val="1"/>
      <w:numFmt w:val="lowerLetter"/>
      <w:lvlText w:val="%5."/>
      <w:lvlJc w:val="left"/>
      <w:pPr>
        <w:ind w:left="4799" w:hanging="360"/>
      </w:pPr>
    </w:lvl>
    <w:lvl w:ilvl="5" w:tplc="0416001B" w:tentative="1">
      <w:start w:val="1"/>
      <w:numFmt w:val="lowerRoman"/>
      <w:lvlText w:val="%6."/>
      <w:lvlJc w:val="right"/>
      <w:pPr>
        <w:ind w:left="5519" w:hanging="180"/>
      </w:pPr>
    </w:lvl>
    <w:lvl w:ilvl="6" w:tplc="0416000F" w:tentative="1">
      <w:start w:val="1"/>
      <w:numFmt w:val="decimal"/>
      <w:lvlText w:val="%7."/>
      <w:lvlJc w:val="left"/>
      <w:pPr>
        <w:ind w:left="6239" w:hanging="360"/>
      </w:pPr>
    </w:lvl>
    <w:lvl w:ilvl="7" w:tplc="04160019" w:tentative="1">
      <w:start w:val="1"/>
      <w:numFmt w:val="lowerLetter"/>
      <w:lvlText w:val="%8."/>
      <w:lvlJc w:val="left"/>
      <w:pPr>
        <w:ind w:left="6959" w:hanging="360"/>
      </w:pPr>
    </w:lvl>
    <w:lvl w:ilvl="8" w:tplc="0416001B" w:tentative="1">
      <w:start w:val="1"/>
      <w:numFmt w:val="lowerRoman"/>
      <w:lvlText w:val="%9."/>
      <w:lvlJc w:val="right"/>
      <w:pPr>
        <w:ind w:left="767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578"/>
    <w:rsid w:val="00000972"/>
    <w:rsid w:val="000150D0"/>
    <w:rsid w:val="000B3F9A"/>
    <w:rsid w:val="000D5B91"/>
    <w:rsid w:val="000E1E16"/>
    <w:rsid w:val="000E3E5B"/>
    <w:rsid w:val="001471CE"/>
    <w:rsid w:val="001933A1"/>
    <w:rsid w:val="001B6AEC"/>
    <w:rsid w:val="001F5F10"/>
    <w:rsid w:val="00236C66"/>
    <w:rsid w:val="00253F88"/>
    <w:rsid w:val="002B66A3"/>
    <w:rsid w:val="002B6B9C"/>
    <w:rsid w:val="002D352E"/>
    <w:rsid w:val="00327986"/>
    <w:rsid w:val="00357152"/>
    <w:rsid w:val="003A0AD3"/>
    <w:rsid w:val="003D5756"/>
    <w:rsid w:val="004033F5"/>
    <w:rsid w:val="005453B7"/>
    <w:rsid w:val="00624E86"/>
    <w:rsid w:val="00631E6D"/>
    <w:rsid w:val="00651318"/>
    <w:rsid w:val="00654F8F"/>
    <w:rsid w:val="006759F7"/>
    <w:rsid w:val="006A4486"/>
    <w:rsid w:val="006A72B3"/>
    <w:rsid w:val="00710F7E"/>
    <w:rsid w:val="00726970"/>
    <w:rsid w:val="00731104"/>
    <w:rsid w:val="007732D5"/>
    <w:rsid w:val="007740BE"/>
    <w:rsid w:val="0078243E"/>
    <w:rsid w:val="00802643"/>
    <w:rsid w:val="00891890"/>
    <w:rsid w:val="008A5677"/>
    <w:rsid w:val="008F3204"/>
    <w:rsid w:val="0091282D"/>
    <w:rsid w:val="00923726"/>
    <w:rsid w:val="00946F75"/>
    <w:rsid w:val="00947527"/>
    <w:rsid w:val="00985866"/>
    <w:rsid w:val="009B3281"/>
    <w:rsid w:val="009E7BA3"/>
    <w:rsid w:val="00A84E41"/>
    <w:rsid w:val="00AB1210"/>
    <w:rsid w:val="00B364C7"/>
    <w:rsid w:val="00B37FA3"/>
    <w:rsid w:val="00B63D54"/>
    <w:rsid w:val="00BB2578"/>
    <w:rsid w:val="00BE06D9"/>
    <w:rsid w:val="00C43946"/>
    <w:rsid w:val="00C87A4D"/>
    <w:rsid w:val="00CB3935"/>
    <w:rsid w:val="00D04258"/>
    <w:rsid w:val="00D223ED"/>
    <w:rsid w:val="00D37F44"/>
    <w:rsid w:val="00D51D60"/>
    <w:rsid w:val="00DA51ED"/>
    <w:rsid w:val="00E455F8"/>
    <w:rsid w:val="00E657B7"/>
    <w:rsid w:val="00E767A5"/>
    <w:rsid w:val="00F300F4"/>
    <w:rsid w:val="00F43931"/>
    <w:rsid w:val="00FB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A6701"/>
  <w15:chartTrackingRefBased/>
  <w15:docId w15:val="{7104F6DB-8550-4EE4-8CE8-3F033C1E1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2578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BB25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25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B25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B25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B25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B25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B25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B25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B25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B25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25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B25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B257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B257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B257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B257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B257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B257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B25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B2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B25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B25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B25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B2578"/>
    <w:rPr>
      <w:i/>
      <w:iCs/>
      <w:color w:val="404040" w:themeColor="text1" w:themeTint="BF"/>
    </w:rPr>
  </w:style>
  <w:style w:type="paragraph" w:styleId="PargrafodaLista">
    <w:name w:val="List Paragraph"/>
    <w:aliases w:val="Paragraph,Dot pt,No Spacing1,List Paragraph Char Char Char,Indicator Text,List Paragraph1,Numbered Para 1,Colorful List - Accent 11,Bullet 1,F5 List Paragraph,Bullet Points,lp1,4 Párrafo de lista,Figuras,DH1,Normal Fv,viñetas,3,L"/>
    <w:basedOn w:val="Normal"/>
    <w:link w:val="PargrafodaListaChar"/>
    <w:uiPriority w:val="34"/>
    <w:qFormat/>
    <w:rsid w:val="00BB257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B257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B25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B257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B2578"/>
    <w:rPr>
      <w:b/>
      <w:bCs/>
      <w:smallCaps/>
      <w:color w:val="0F4761" w:themeColor="accent1" w:themeShade="BF"/>
      <w:spacing w:val="5"/>
    </w:rPr>
  </w:style>
  <w:style w:type="paragraph" w:styleId="Textodenotaderodap">
    <w:name w:val="footnote text"/>
    <w:aliases w:val="Final Footnote Text,GM_Fußnotentext,Footnote text,fn,Schriftart: 9 pt,Schriftart: 10 pt,Schriftart: 8 pt,WB-Fußnotentext,footnote text,Nota de rodapé, Car,Car,Final Footnote Text Char Char"/>
    <w:basedOn w:val="Normal"/>
    <w:link w:val="TextodenotaderodapChar"/>
    <w:uiPriority w:val="99"/>
    <w:qFormat/>
    <w:rsid w:val="00BB2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denotaderodapChar">
    <w:name w:val="Texto de nota de rodapé Char"/>
    <w:aliases w:val="Final Footnote Text Char,GM_Fußnotentext Char,Footnote text Char,fn Char,Schriftart: 9 pt Char,Schriftart: 10 pt Char,Schriftart: 8 pt Char,WB-Fußnotentext Char,footnote text Char,Nota de rodapé Char, Car Char,Car Char"/>
    <w:basedOn w:val="Fontepargpadro"/>
    <w:link w:val="Textodenotaderodap"/>
    <w:uiPriority w:val="99"/>
    <w:rsid w:val="00BB2578"/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  <w:style w:type="character" w:styleId="Refdenotaderodap">
    <w:name w:val="footnote reference"/>
    <w:aliases w:val="BVI fnr, BVI fnr,(Footnote Reference),Footnote Reference/,Ref,de nota al pie"/>
    <w:basedOn w:val="Fontepargpadro"/>
    <w:uiPriority w:val="99"/>
    <w:qFormat/>
    <w:rsid w:val="00BB2578"/>
    <w:rPr>
      <w:vertAlign w:val="superscript"/>
    </w:rPr>
  </w:style>
  <w:style w:type="character" w:customStyle="1" w:styleId="PargrafodaListaChar">
    <w:name w:val="Parágrafo da Lista Char"/>
    <w:aliases w:val="Paragraph Char,Dot pt Char,No Spacing1 Char,List Paragraph Char Char Char Char,Indicator Text Char,List Paragraph1 Char,Numbered Para 1 Char,Colorful List - Accent 11 Char,Bullet 1 Char,F5 List Paragraph Char,Bullet Points Char"/>
    <w:basedOn w:val="Fontepargpadro"/>
    <w:link w:val="PargrafodaLista"/>
    <w:uiPriority w:val="34"/>
    <w:qFormat/>
    <w:locked/>
    <w:rsid w:val="00BB2578"/>
  </w:style>
  <w:style w:type="table" w:styleId="Tabelacomgrade">
    <w:name w:val="Table Grid"/>
    <w:basedOn w:val="Tabelanormal"/>
    <w:uiPriority w:val="39"/>
    <w:rsid w:val="00BB257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pageannexnumber">
    <w:name w:val="Cover page annex number"/>
    <w:basedOn w:val="Normal"/>
    <w:link w:val="CoverpageannexnumberChar"/>
    <w:qFormat/>
    <w:rsid w:val="00F43931"/>
    <w:pPr>
      <w:keepNext/>
      <w:keepLines/>
      <w:spacing w:before="1920" w:line="480" w:lineRule="auto"/>
      <w:jc w:val="center"/>
      <w:outlineLvl w:val="0"/>
    </w:pPr>
    <w:rPr>
      <w:rFonts w:ascii="Times New Roman Bold" w:eastAsia="Times New Roman" w:hAnsi="Times New Roman Bold" w:cstheme="majorBidi"/>
      <w:b/>
      <w:caps/>
      <w:sz w:val="32"/>
      <w:szCs w:val="26"/>
      <w:lang w:eastAsia="es-ES"/>
      <w14:ligatures w14:val="standardContextual"/>
    </w:rPr>
  </w:style>
  <w:style w:type="character" w:customStyle="1" w:styleId="CoverpageannexnumberChar">
    <w:name w:val="Cover page annex number Char"/>
    <w:basedOn w:val="Fontepargpadro"/>
    <w:link w:val="Coverpageannexnumber"/>
    <w:rsid w:val="00F43931"/>
    <w:rPr>
      <w:rFonts w:ascii="Times New Roman Bold" w:eastAsia="Times New Roman" w:hAnsi="Times New Roman Bold" w:cstheme="majorBidi"/>
      <w:b/>
      <w:caps/>
      <w:kern w:val="0"/>
      <w:sz w:val="32"/>
      <w:szCs w:val="26"/>
      <w:lang w:val="pt-BR" w:eastAsia="es-ES"/>
    </w:rPr>
  </w:style>
  <w:style w:type="paragraph" w:customStyle="1" w:styleId="Coverpageannexreftitle">
    <w:name w:val="Cover page annex ref + title"/>
    <w:basedOn w:val="Normal"/>
    <w:link w:val="CoverpageannexreftitleChar"/>
    <w:qFormat/>
    <w:rsid w:val="00624E86"/>
    <w:pPr>
      <w:keepNext/>
      <w:keepLines/>
      <w:spacing w:after="0" w:line="480" w:lineRule="auto"/>
      <w:jc w:val="center"/>
      <w:outlineLvl w:val="0"/>
    </w:pPr>
    <w:rPr>
      <w:rFonts w:ascii="Times New Roman" w:eastAsia="Times New Roman" w:hAnsi="Times New Roman" w:cstheme="majorBidi"/>
      <w:caps/>
      <w:sz w:val="28"/>
      <w:szCs w:val="26"/>
      <w:lang w:eastAsia="es-ES"/>
      <w14:ligatures w14:val="standardContextual"/>
    </w:rPr>
  </w:style>
  <w:style w:type="character" w:customStyle="1" w:styleId="CoverpageannexreftitleChar">
    <w:name w:val="Cover page annex ref + title Char"/>
    <w:basedOn w:val="Fontepargpadro"/>
    <w:link w:val="Coverpageannexreftitle"/>
    <w:rsid w:val="00624E86"/>
    <w:rPr>
      <w:rFonts w:ascii="Times New Roman" w:eastAsia="Times New Roman" w:hAnsi="Times New Roman" w:cstheme="majorBidi"/>
      <w:caps/>
      <w:kern w:val="0"/>
      <w:sz w:val="28"/>
      <w:szCs w:val="26"/>
      <w:lang w:val="pt-BR" w:eastAsia="es-ES"/>
    </w:rPr>
  </w:style>
  <w:style w:type="paragraph" w:styleId="Cabealho">
    <w:name w:val="header"/>
    <w:basedOn w:val="Normal"/>
    <w:link w:val="CabealhoChar"/>
    <w:uiPriority w:val="99"/>
    <w:unhideWhenUsed/>
    <w:rsid w:val="00624E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4E86"/>
    <w:rPr>
      <w:kern w:val="0"/>
      <w:lang w:val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624E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4E86"/>
    <w:rPr>
      <w:kern w:val="0"/>
      <w:lang w:val="pt-BR"/>
      <w14:ligatures w14:val="none"/>
    </w:rPr>
  </w:style>
  <w:style w:type="paragraph" w:customStyle="1" w:styleId="FTAchaptertitle">
    <w:name w:val="FTA chapter title"/>
    <w:basedOn w:val="Ttulo1"/>
    <w:link w:val="FTAchaptertitleChar"/>
    <w:qFormat/>
    <w:rsid w:val="00236C66"/>
    <w:pPr>
      <w:spacing w:before="0" w:after="0" w:line="480" w:lineRule="auto"/>
      <w:jc w:val="center"/>
    </w:pPr>
    <w:rPr>
      <w:rFonts w:ascii="Times New Roman" w:eastAsia="Times New Roman" w:hAnsi="Times New Roman"/>
      <w:b/>
      <w:caps/>
      <w:color w:val="auto"/>
      <w:sz w:val="24"/>
      <w:szCs w:val="26"/>
      <w:lang w:eastAsia="es-ES"/>
    </w:rPr>
  </w:style>
  <w:style w:type="character" w:customStyle="1" w:styleId="FTAchaptertitleChar">
    <w:name w:val="FTA chapter title Char"/>
    <w:basedOn w:val="Fontepargpadro"/>
    <w:link w:val="FTAchaptertitle"/>
    <w:rsid w:val="00236C66"/>
    <w:rPr>
      <w:rFonts w:ascii="Times New Roman" w:eastAsia="Times New Roman" w:hAnsi="Times New Roman" w:cstheme="majorBidi"/>
      <w:b/>
      <w:caps/>
      <w:kern w:val="0"/>
      <w:sz w:val="24"/>
      <w:szCs w:val="26"/>
      <w:lang w:val="pt-BR" w:eastAsia="es-ES"/>
      <w14:ligatures w14:val="none"/>
    </w:rPr>
  </w:style>
  <w:style w:type="paragraph" w:customStyle="1" w:styleId="FTAarticletitle">
    <w:name w:val="FTA article title"/>
    <w:basedOn w:val="Ttulo2"/>
    <w:link w:val="FTAarticletitleChar"/>
    <w:qFormat/>
    <w:rsid w:val="00D04258"/>
    <w:pPr>
      <w:spacing w:before="0" w:after="240" w:line="240" w:lineRule="auto"/>
      <w:jc w:val="center"/>
    </w:pPr>
    <w:rPr>
      <w:rFonts w:ascii="Times New Roman" w:eastAsia="Times New Roman" w:hAnsi="Times New Roman"/>
      <w:b/>
      <w:i/>
      <w:color w:val="auto"/>
      <w:sz w:val="24"/>
      <w:szCs w:val="26"/>
      <w:lang w:eastAsia="es-ES"/>
    </w:rPr>
  </w:style>
  <w:style w:type="character" w:customStyle="1" w:styleId="FTAarticletitleChar">
    <w:name w:val="FTA article title Char"/>
    <w:basedOn w:val="Fontepargpadro"/>
    <w:link w:val="FTAarticletitle"/>
    <w:rsid w:val="00D04258"/>
    <w:rPr>
      <w:rFonts w:ascii="Times New Roman" w:eastAsia="Times New Roman" w:hAnsi="Times New Roman" w:cstheme="majorBidi"/>
      <w:b/>
      <w:i/>
      <w:kern w:val="0"/>
      <w:sz w:val="24"/>
      <w:szCs w:val="26"/>
      <w:lang w:eastAsia="es-ES"/>
      <w14:ligatures w14:val="none"/>
    </w:rPr>
  </w:style>
  <w:style w:type="paragraph" w:styleId="Corpodetexto">
    <w:name w:val="Body Text"/>
    <w:basedOn w:val="Normal"/>
    <w:link w:val="CorpodetextoChar"/>
    <w:unhideWhenUsed/>
    <w:qFormat/>
    <w:rsid w:val="00BE06D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CorpodetextoChar">
    <w:name w:val="Corpo de texto Char"/>
    <w:basedOn w:val="Fontepargpadro"/>
    <w:link w:val="Corpodetexto"/>
    <w:rsid w:val="00BE06D9"/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paragraph" w:customStyle="1" w:styleId="FTAarticlenumber">
    <w:name w:val="FTA article number"/>
    <w:basedOn w:val="Ttulo2"/>
    <w:link w:val="FTAarticlenumberChar"/>
    <w:qFormat/>
    <w:rsid w:val="004033F5"/>
    <w:pPr>
      <w:spacing w:before="480" w:after="0" w:line="480" w:lineRule="auto"/>
      <w:jc w:val="center"/>
    </w:pPr>
    <w:rPr>
      <w:rFonts w:ascii="Times New Roman" w:eastAsia="Times New Roman" w:hAnsi="Times New Roman"/>
      <w:smallCaps/>
      <w:color w:val="auto"/>
      <w:sz w:val="24"/>
      <w:szCs w:val="26"/>
      <w:lang w:eastAsia="es-ES"/>
    </w:rPr>
  </w:style>
  <w:style w:type="character" w:customStyle="1" w:styleId="FTAarticlenumberChar">
    <w:name w:val="FTA article number Char"/>
    <w:basedOn w:val="Fontepargpadro"/>
    <w:link w:val="FTAarticlenumber"/>
    <w:rsid w:val="004033F5"/>
    <w:rPr>
      <w:rFonts w:ascii="Times New Roman" w:eastAsia="Times New Roman" w:hAnsi="Times New Roman" w:cstheme="majorBidi"/>
      <w:smallCaps/>
      <w:kern w:val="0"/>
      <w:sz w:val="24"/>
      <w:szCs w:val="26"/>
      <w:lang w:eastAsia="es-ES"/>
      <w14:ligatures w14:val="none"/>
    </w:rPr>
  </w:style>
  <w:style w:type="paragraph" w:customStyle="1" w:styleId="FTAlisttext">
    <w:name w:val="FTA list text"/>
    <w:basedOn w:val="Normal"/>
    <w:qFormat/>
    <w:rsid w:val="007732D5"/>
    <w:pPr>
      <w:spacing w:after="240" w:line="240" w:lineRule="auto"/>
      <w:jc w:val="both"/>
    </w:pPr>
    <w:rPr>
      <w:rFonts w:ascii="Times New Roman" w:eastAsia="Batang" w:hAnsi="Times New Roman" w:cs="Times New Roman"/>
      <w:sz w:val="24"/>
      <w:szCs w:val="24"/>
      <w:lang w:eastAsia="zh-TW"/>
    </w:rPr>
  </w:style>
  <w:style w:type="paragraph" w:styleId="Reviso">
    <w:name w:val="Revision"/>
    <w:hidden/>
    <w:uiPriority w:val="99"/>
    <w:semiHidden/>
    <w:rsid w:val="000E3E5B"/>
    <w:pPr>
      <w:spacing w:after="0" w:line="240" w:lineRule="auto"/>
    </w:pPr>
    <w:rPr>
      <w:kern w:val="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455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455F8"/>
    <w:rPr>
      <w:rFonts w:ascii="Segoe UI" w:hAnsi="Segoe UI" w:cs="Segoe UI"/>
      <w:kern w:val="0"/>
      <w:sz w:val="18"/>
      <w:szCs w:val="18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3D575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D575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D5756"/>
    <w:rPr>
      <w:kern w:val="0"/>
      <w:sz w:val="20"/>
      <w:szCs w:val="20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D575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D5756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B67FEB-59DB-44B5-BD5F-9DE8DE0E5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515D31-CB07-499B-8EAB-111C7A0D36C8}">
  <ds:schemaRefs>
    <ds:schemaRef ds:uri="http://schemas.microsoft.com/office/infopath/2007/PartnerControls"/>
    <ds:schemaRef ds:uri="c3595255-03e9-4f2b-b62f-7eedf31d862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236eead-057f-4456-b045-1e6d9ca08cb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8837421-8BD3-4B32-9DFE-229A732C8A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583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CHABIN Alexandra Julia</dc:creator>
  <cp:keywords/>
  <dc:description/>
  <cp:lastModifiedBy>Reis de Souza Neto</cp:lastModifiedBy>
  <cp:revision>6</cp:revision>
  <dcterms:created xsi:type="dcterms:W3CDTF">2026-03-27T20:39:00Z</dcterms:created>
  <dcterms:modified xsi:type="dcterms:W3CDTF">2026-04-09T12:59:00Z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0x010100F1362C1D75A6A94493F4D81DF328EB3D</vt:lpwstr>
  </property>
  <property fmtid="{D5CDD505-2E9C-101B-9397-08002B2CF9AE}" pid="3" name="MediaServiceImageTags">
    <vt:lpwstr/>
  </property>
</Properties>
</file>